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python-blinker</w:t>
      </w:r>
      <w:r>
        <w:rPr>
          <w:rStyle w:val="a0"/>
          <w:rFonts w:ascii="Arial" w:hAnsi="Arial"/>
          <w:b w:val="0"/>
          <w:sz w:val="21"/>
        </w:rPr>
        <w:t xml:space="preserve"> </w:t>
      </w:r>
      <w:r>
        <w:rPr>
          <w:rStyle w:val="a0"/>
          <w:rFonts w:ascii="Arial" w:hAnsi="Arial"/>
          <w:b w:val="0"/>
          <w:sz w:val="21"/>
        </w:rPr>
        <w:t>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Copyright 2007-2013 by the Sphinx team, see AUTHORS. license: BSD, see LICENSE for details.</w:t>
      </w:r>
    </w:p>
    <w:p>
      <w:pPr>
        <w:spacing w:line="420" w:lineRule="exact"/>
      </w:pPr>
      <w:r>
        <w:rPr>
          <w:rStyle w:val="a0"/>
          <w:rFonts w:ascii="Arial" w:hAnsi="Arial"/>
          <w:sz w:val="18"/>
        </w:rPr>
        <w:t>copyright: Copyright 2007-2010 by the Sphinx team, see AUTHORS. license</w:t>
      </w:r>
      <w:r>
        <w:rPr>
          <w:rStyle w:val="a0"/>
          <w:rFonts w:ascii="Arial" w:hAnsi="Arial"/>
          <w:sz w:val="18"/>
        </w:rPr>
        <w:t>: BSD, see LICENSE for details.</w:t>
      </w:r>
    </w:p>
    <w:p>
      <w:pPr>
        <w:spacing w:line="420" w:lineRule="exact"/>
      </w:pPr>
      <w:r>
        <w:rPr>
          <w:rStyle w:val="a0"/>
          <w:rFonts w:ascii="Arial" w:hAnsi="Arial"/>
          <w:sz w:val="18"/>
        </w:rPr>
        <w:t>Copyright (c) 2006 Patrick K. O'Brien, Mike C. Fletcher, Matthew R. Scott</w:t>
      </w:r>
    </w:p>
    <w:p>
      <w:pPr>
        <w:spacing w:line="420" w:lineRule="exact"/>
      </w:pPr>
      <w:r>
        <w:rPr>
          <w:rStyle w:val="a0"/>
          <w:rFonts w:ascii="Arial" w:hAnsi="Arial"/>
          <w:sz w:val="18"/>
        </w:rPr>
        <w:t>(c) 2009-2012 Jeremy Ashkenas, DocumentCloud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